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931F" w14:textId="29E15210" w:rsidR="00B23C17" w:rsidRPr="00B23C17" w:rsidRDefault="007F58C0" w:rsidP="00B23C17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BA47909" wp14:editId="4FC431C6">
            <wp:extent cx="9144000" cy="424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B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83"/>
                    <a:stretch/>
                  </pic:blipFill>
                  <pic:spPr>
                    <a:xfrm>
                      <a:off x="0" y="0"/>
                      <a:ext cx="91440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C17">
        <w:rPr>
          <w:b/>
          <w:sz w:val="32"/>
        </w:rPr>
        <w:t xml:space="preserve">When </w:t>
      </w:r>
      <w:proofErr w:type="gramStart"/>
      <w:r w:rsidR="00B23C17">
        <w:rPr>
          <w:b/>
          <w:sz w:val="32"/>
        </w:rPr>
        <w:t>To</w:t>
      </w:r>
      <w:proofErr w:type="gramEnd"/>
      <w:r w:rsidR="00B23C17">
        <w:rPr>
          <w:b/>
          <w:sz w:val="32"/>
        </w:rPr>
        <w:t xml:space="preserve"> Call Op</w:t>
      </w:r>
      <w:r w:rsidR="00CD54AA">
        <w:rPr>
          <w:b/>
          <w:sz w:val="32"/>
        </w:rPr>
        <w:t>h</w:t>
      </w:r>
      <w:r w:rsidR="00B23C17">
        <w:rPr>
          <w:b/>
          <w:sz w:val="32"/>
        </w:rPr>
        <w:t>thalmology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34"/>
        <w:gridCol w:w="4646"/>
        <w:gridCol w:w="62"/>
        <w:gridCol w:w="4708"/>
      </w:tblGrid>
      <w:tr w:rsidR="00B23C17" w:rsidRPr="00B23C17" w14:paraId="349FD708" w14:textId="77777777" w:rsidTr="00B23C17">
        <w:trPr>
          <w:trHeight w:val="360"/>
        </w:trPr>
        <w:tc>
          <w:tcPr>
            <w:tcW w:w="4709" w:type="dxa"/>
            <w:gridSpan w:val="2"/>
            <w:shd w:val="clear" w:color="auto" w:fill="auto"/>
            <w:hideMark/>
          </w:tcPr>
          <w:p w14:paraId="5DF6D923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Clinical Scenario - ER</w:t>
            </w:r>
          </w:p>
        </w:tc>
        <w:tc>
          <w:tcPr>
            <w:tcW w:w="4708" w:type="dxa"/>
            <w:gridSpan w:val="2"/>
            <w:shd w:val="clear" w:color="auto" w:fill="auto"/>
            <w:hideMark/>
          </w:tcPr>
          <w:p w14:paraId="61F4FB7D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Pearls</w:t>
            </w:r>
          </w:p>
        </w:tc>
        <w:tc>
          <w:tcPr>
            <w:tcW w:w="4708" w:type="dxa"/>
            <w:shd w:val="clear" w:color="auto" w:fill="auto"/>
            <w:hideMark/>
          </w:tcPr>
          <w:p w14:paraId="0E60DA35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Typical disposition/communication</w:t>
            </w:r>
          </w:p>
        </w:tc>
      </w:tr>
      <w:tr w:rsidR="00B23C17" w:rsidRPr="00B23C17" w14:paraId="3D9E17B7" w14:textId="77777777" w:rsidTr="00B23C17">
        <w:trPr>
          <w:trHeight w:val="240"/>
        </w:trPr>
        <w:tc>
          <w:tcPr>
            <w:tcW w:w="4709" w:type="dxa"/>
            <w:gridSpan w:val="2"/>
            <w:shd w:val="clear" w:color="auto" w:fill="auto"/>
            <w:hideMark/>
          </w:tcPr>
          <w:p w14:paraId="73091516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Corneal foreign body</w:t>
            </w:r>
          </w:p>
        </w:tc>
        <w:tc>
          <w:tcPr>
            <w:tcW w:w="4708" w:type="dxa"/>
            <w:gridSpan w:val="2"/>
            <w:shd w:val="clear" w:color="auto" w:fill="auto"/>
            <w:hideMark/>
          </w:tcPr>
          <w:p w14:paraId="3E7ADC43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 the bulk out, don't fuss about all the deeper rust ring</w:t>
            </w:r>
          </w:p>
        </w:tc>
        <w:tc>
          <w:tcPr>
            <w:tcW w:w="4708" w:type="dxa"/>
            <w:shd w:val="clear" w:color="auto" w:fill="auto"/>
            <w:hideMark/>
          </w:tcPr>
          <w:p w14:paraId="0A60C624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topical antibiotic, 1-2 day f/u</w:t>
            </w:r>
          </w:p>
        </w:tc>
      </w:tr>
      <w:tr w:rsidR="00B23C17" w:rsidRPr="00B23C17" w14:paraId="59A131DE" w14:textId="77777777" w:rsidTr="00B23C17">
        <w:trPr>
          <w:trHeight w:val="240"/>
        </w:trPr>
        <w:tc>
          <w:tcPr>
            <w:tcW w:w="4709" w:type="dxa"/>
            <w:gridSpan w:val="2"/>
            <w:shd w:val="clear" w:color="auto" w:fill="auto"/>
            <w:hideMark/>
          </w:tcPr>
          <w:p w14:paraId="750089A4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Peripheral and small corneal infiltrates</w:t>
            </w:r>
          </w:p>
        </w:tc>
        <w:tc>
          <w:tcPr>
            <w:tcW w:w="4708" w:type="dxa"/>
            <w:gridSpan w:val="2"/>
            <w:shd w:val="clear" w:color="auto" w:fill="auto"/>
            <w:hideMark/>
          </w:tcPr>
          <w:p w14:paraId="30AD4154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auto"/>
            <w:hideMark/>
          </w:tcPr>
          <w:p w14:paraId="01B00AF6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topical antibiotic, 1-2 day f/u</w:t>
            </w:r>
          </w:p>
        </w:tc>
      </w:tr>
      <w:tr w:rsidR="00B23C17" w:rsidRPr="00B23C17" w14:paraId="17A9C5AE" w14:textId="77777777" w:rsidTr="00B23C17">
        <w:trPr>
          <w:trHeight w:val="240"/>
        </w:trPr>
        <w:tc>
          <w:tcPr>
            <w:tcW w:w="4709" w:type="dxa"/>
            <w:gridSpan w:val="2"/>
            <w:shd w:val="clear" w:color="auto" w:fill="auto"/>
            <w:hideMark/>
          </w:tcPr>
          <w:p w14:paraId="1802FBD4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Central or large corneal infiltrates</w:t>
            </w:r>
          </w:p>
        </w:tc>
        <w:tc>
          <w:tcPr>
            <w:tcW w:w="4708" w:type="dxa"/>
            <w:gridSpan w:val="2"/>
            <w:shd w:val="clear" w:color="auto" w:fill="auto"/>
            <w:hideMark/>
          </w:tcPr>
          <w:p w14:paraId="4583A6E4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benefit from culture</w:t>
            </w:r>
          </w:p>
        </w:tc>
        <w:tc>
          <w:tcPr>
            <w:tcW w:w="4708" w:type="dxa"/>
            <w:shd w:val="clear" w:color="auto" w:fill="auto"/>
            <w:hideMark/>
          </w:tcPr>
          <w:p w14:paraId="66A65F7A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</w:t>
            </w:r>
          </w:p>
        </w:tc>
      </w:tr>
      <w:tr w:rsidR="00B23C17" w:rsidRPr="00B23C17" w14:paraId="0194C252" w14:textId="77777777" w:rsidTr="00B23C17">
        <w:trPr>
          <w:trHeight w:val="510"/>
        </w:trPr>
        <w:tc>
          <w:tcPr>
            <w:tcW w:w="4709" w:type="dxa"/>
            <w:gridSpan w:val="2"/>
            <w:shd w:val="clear" w:color="auto" w:fill="auto"/>
            <w:hideMark/>
          </w:tcPr>
          <w:p w14:paraId="67116F70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Hyphema</w:t>
            </w:r>
            <w:proofErr w:type="spellEnd"/>
          </w:p>
        </w:tc>
        <w:tc>
          <w:tcPr>
            <w:tcW w:w="4708" w:type="dxa"/>
            <w:gridSpan w:val="2"/>
            <w:shd w:val="clear" w:color="auto" w:fill="auto"/>
            <w:hideMark/>
          </w:tcPr>
          <w:p w14:paraId="22ED039D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consider open globe, know the eye pressure</w:t>
            </w:r>
          </w:p>
        </w:tc>
        <w:tc>
          <w:tcPr>
            <w:tcW w:w="4708" w:type="dxa"/>
            <w:shd w:val="clear" w:color="auto" w:fill="auto"/>
            <w:hideMark/>
          </w:tcPr>
          <w:p w14:paraId="79B07566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or start drops (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1%qid, atropine 1% bid), antibiotic if also abrasion, 1 day f/u</w:t>
            </w:r>
          </w:p>
        </w:tc>
      </w:tr>
      <w:tr w:rsidR="00B23C17" w:rsidRPr="00B23C17" w14:paraId="27D8EBE3" w14:textId="77777777" w:rsidTr="00B23C17">
        <w:trPr>
          <w:trHeight w:val="255"/>
        </w:trPr>
        <w:tc>
          <w:tcPr>
            <w:tcW w:w="4709" w:type="dxa"/>
            <w:gridSpan w:val="2"/>
            <w:shd w:val="clear" w:color="auto" w:fill="auto"/>
            <w:hideMark/>
          </w:tcPr>
          <w:p w14:paraId="42EF656F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Corneal abrasions</w:t>
            </w:r>
          </w:p>
        </w:tc>
        <w:tc>
          <w:tcPr>
            <w:tcW w:w="4708" w:type="dxa"/>
            <w:gridSpan w:val="2"/>
            <w:shd w:val="clear" w:color="auto" w:fill="auto"/>
            <w:hideMark/>
          </w:tcPr>
          <w:p w14:paraId="75131C27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auto"/>
            <w:hideMark/>
          </w:tcPr>
          <w:p w14:paraId="792BFEBF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topical antibiotic, variable f/u</w:t>
            </w:r>
          </w:p>
        </w:tc>
      </w:tr>
      <w:tr w:rsidR="00B23C17" w:rsidRPr="00B23C17" w14:paraId="433A7B2C" w14:textId="77777777" w:rsidTr="00B23C17">
        <w:trPr>
          <w:trHeight w:val="510"/>
        </w:trPr>
        <w:tc>
          <w:tcPr>
            <w:tcW w:w="4709" w:type="dxa"/>
            <w:gridSpan w:val="2"/>
            <w:shd w:val="clear" w:color="auto" w:fill="auto"/>
            <w:hideMark/>
          </w:tcPr>
          <w:p w14:paraId="47DE18BD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Herpetic eye disease, simplex or zoster</w:t>
            </w:r>
          </w:p>
        </w:tc>
        <w:tc>
          <w:tcPr>
            <w:tcW w:w="4708" w:type="dxa"/>
            <w:gridSpan w:val="2"/>
            <w:shd w:val="clear" w:color="auto" w:fill="auto"/>
            <w:hideMark/>
          </w:tcPr>
          <w:p w14:paraId="2E67EA1F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auto"/>
            <w:hideMark/>
          </w:tcPr>
          <w:p w14:paraId="638D6A78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oral acyclovir, 1-2 day f/u</w:t>
            </w:r>
          </w:p>
        </w:tc>
      </w:tr>
      <w:tr w:rsidR="00B23C17" w:rsidRPr="00B23C17" w14:paraId="6334A454" w14:textId="77777777" w:rsidTr="00B23C17">
        <w:trPr>
          <w:trHeight w:val="510"/>
        </w:trPr>
        <w:tc>
          <w:tcPr>
            <w:tcW w:w="4709" w:type="dxa"/>
            <w:gridSpan w:val="2"/>
            <w:shd w:val="clear" w:color="auto" w:fill="auto"/>
            <w:hideMark/>
          </w:tcPr>
          <w:p w14:paraId="3594314F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Cannulicular</w:t>
            </w:r>
            <w:proofErr w:type="spellEnd"/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/lid margin laceration</w:t>
            </w:r>
          </w:p>
        </w:tc>
        <w:tc>
          <w:tcPr>
            <w:tcW w:w="4708" w:type="dxa"/>
            <w:gridSpan w:val="2"/>
            <w:shd w:val="clear" w:color="auto" w:fill="auto"/>
            <w:hideMark/>
          </w:tcPr>
          <w:p w14:paraId="113473E0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a minority of our on-call staff repair these</w:t>
            </w:r>
          </w:p>
        </w:tc>
        <w:tc>
          <w:tcPr>
            <w:tcW w:w="4708" w:type="dxa"/>
            <w:shd w:val="clear" w:color="auto" w:fill="auto"/>
            <w:hideMark/>
          </w:tcPr>
          <w:p w14:paraId="244E197D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immediate management issues, call within 12 hours for either treatment or to initiate the planning for repair.</w:t>
            </w:r>
          </w:p>
        </w:tc>
      </w:tr>
      <w:tr w:rsidR="00B23C17" w:rsidRPr="00B23C17" w14:paraId="2B36568A" w14:textId="77777777" w:rsidTr="00B23C17">
        <w:trPr>
          <w:trHeight w:val="255"/>
        </w:trPr>
        <w:tc>
          <w:tcPr>
            <w:tcW w:w="4709" w:type="dxa"/>
            <w:gridSpan w:val="2"/>
            <w:shd w:val="clear" w:color="auto" w:fill="auto"/>
            <w:hideMark/>
          </w:tcPr>
          <w:p w14:paraId="75911523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Flashes and floaters</w:t>
            </w:r>
          </w:p>
        </w:tc>
        <w:tc>
          <w:tcPr>
            <w:tcW w:w="4708" w:type="dxa"/>
            <w:gridSpan w:val="2"/>
            <w:shd w:val="clear" w:color="auto" w:fill="auto"/>
            <w:hideMark/>
          </w:tcPr>
          <w:p w14:paraId="59E4CBC3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Consider migraine aura, retinal detachment</w:t>
            </w:r>
          </w:p>
        </w:tc>
        <w:tc>
          <w:tcPr>
            <w:tcW w:w="4708" w:type="dxa"/>
            <w:shd w:val="clear" w:color="auto" w:fill="auto"/>
            <w:hideMark/>
          </w:tcPr>
          <w:p w14:paraId="3969CEFB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or 1 day f/u</w:t>
            </w:r>
          </w:p>
        </w:tc>
      </w:tr>
      <w:tr w:rsidR="00B23C17" w:rsidRPr="00B23C17" w14:paraId="3E317276" w14:textId="77777777" w:rsidTr="00B23C17">
        <w:trPr>
          <w:trHeight w:val="510"/>
        </w:trPr>
        <w:tc>
          <w:tcPr>
            <w:tcW w:w="4709" w:type="dxa"/>
            <w:gridSpan w:val="2"/>
            <w:shd w:val="clear" w:color="auto" w:fill="auto"/>
            <w:hideMark/>
          </w:tcPr>
          <w:p w14:paraId="5EA2C06D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Double vision</w:t>
            </w:r>
          </w:p>
        </w:tc>
        <w:tc>
          <w:tcPr>
            <w:tcW w:w="4708" w:type="dxa"/>
            <w:gridSpan w:val="2"/>
            <w:shd w:val="clear" w:color="auto" w:fill="auto"/>
            <w:hideMark/>
          </w:tcPr>
          <w:p w14:paraId="24BCFCB3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Evaluate for 3rd nerve palsy, consider neurology consultation, imaging</w:t>
            </w:r>
          </w:p>
        </w:tc>
        <w:tc>
          <w:tcPr>
            <w:tcW w:w="4708" w:type="dxa"/>
            <w:shd w:val="clear" w:color="auto" w:fill="auto"/>
            <w:hideMark/>
          </w:tcPr>
          <w:p w14:paraId="01373679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vs f/u few days, varies</w:t>
            </w:r>
          </w:p>
        </w:tc>
      </w:tr>
      <w:tr w:rsidR="00B23C17" w:rsidRPr="00B23C17" w14:paraId="6B6F8ECB" w14:textId="77777777" w:rsidTr="00B23C17">
        <w:trPr>
          <w:trHeight w:val="1275"/>
        </w:trPr>
        <w:tc>
          <w:tcPr>
            <w:tcW w:w="4709" w:type="dxa"/>
            <w:gridSpan w:val="2"/>
            <w:shd w:val="clear" w:color="auto" w:fill="auto"/>
            <w:hideMark/>
          </w:tcPr>
          <w:p w14:paraId="0A00DCAF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Orbit fracture</w:t>
            </w:r>
          </w:p>
        </w:tc>
        <w:tc>
          <w:tcPr>
            <w:tcW w:w="4708" w:type="dxa"/>
            <w:gridSpan w:val="2"/>
            <w:shd w:val="clear" w:color="auto" w:fill="auto"/>
            <w:hideMark/>
          </w:tcPr>
          <w:p w14:paraId="5E1ECCE9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Consider open globe, orbital compartment syndrome.  Consider the child with "white-eyed" blow out/green stick/trap door type fracture that infarcts the entrapped muscle (limited 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upgaze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possible bradycardia from 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oculocardiac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reflex) </w:t>
            </w:r>
            <w:proofErr w:type="gram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 Urgent</w:t>
            </w:r>
            <w:proofErr w:type="gram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repair needed.</w:t>
            </w:r>
          </w:p>
        </w:tc>
        <w:tc>
          <w:tcPr>
            <w:tcW w:w="4708" w:type="dxa"/>
            <w:shd w:val="clear" w:color="auto" w:fill="auto"/>
            <w:hideMark/>
          </w:tcPr>
          <w:p w14:paraId="5EA7EE58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Varies.  If outpatient and uncomplicated f/u few days.  If inpatient and undergoing urgent repair: 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Ophtho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should be contacted within 12 hours.</w:t>
            </w:r>
          </w:p>
        </w:tc>
      </w:tr>
      <w:tr w:rsidR="00B23C17" w:rsidRPr="00B23C17" w14:paraId="065D0547" w14:textId="77777777" w:rsidTr="00B23C17">
        <w:trPr>
          <w:trHeight w:val="765"/>
        </w:trPr>
        <w:tc>
          <w:tcPr>
            <w:tcW w:w="4709" w:type="dxa"/>
            <w:gridSpan w:val="2"/>
            <w:shd w:val="clear" w:color="auto" w:fill="auto"/>
            <w:hideMark/>
          </w:tcPr>
          <w:p w14:paraId="31C5E002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Orbital compartment syndrome</w:t>
            </w:r>
          </w:p>
        </w:tc>
        <w:tc>
          <w:tcPr>
            <w:tcW w:w="4708" w:type="dxa"/>
            <w:gridSpan w:val="2"/>
            <w:shd w:val="clear" w:color="auto" w:fill="auto"/>
            <w:hideMark/>
          </w:tcPr>
          <w:p w14:paraId="0F2F73B0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Clinical evidence of "tight orbit" - tense lids (from hemorrhage or soft tissue swelling), +/- proptosis, 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resistence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retropulsion of globe, + "orbit signs", +/- retro bulbar hemorrhage on CT</w:t>
            </w:r>
          </w:p>
        </w:tc>
        <w:tc>
          <w:tcPr>
            <w:tcW w:w="4708" w:type="dxa"/>
            <w:shd w:val="clear" w:color="auto" w:fill="auto"/>
            <w:hideMark/>
          </w:tcPr>
          <w:p w14:paraId="2A75DAF0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Call, but timely treatment 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supercedes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waiting for ophthalmology.</w:t>
            </w:r>
          </w:p>
        </w:tc>
      </w:tr>
      <w:tr w:rsidR="00B23C17" w:rsidRPr="00B23C17" w14:paraId="11B4D57C" w14:textId="77777777" w:rsidTr="00B23C17">
        <w:trPr>
          <w:trHeight w:val="1020"/>
        </w:trPr>
        <w:tc>
          <w:tcPr>
            <w:tcW w:w="4709" w:type="dxa"/>
            <w:gridSpan w:val="2"/>
            <w:shd w:val="clear" w:color="auto" w:fill="auto"/>
            <w:hideMark/>
          </w:tcPr>
          <w:p w14:paraId="39A03156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Cellulitis</w:t>
            </w:r>
          </w:p>
        </w:tc>
        <w:tc>
          <w:tcPr>
            <w:tcW w:w="4708" w:type="dxa"/>
            <w:gridSpan w:val="2"/>
            <w:shd w:val="clear" w:color="auto" w:fill="auto"/>
            <w:hideMark/>
          </w:tcPr>
          <w:p w14:paraId="51918117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Evaluate "orbit signs" - vision, pupils, bulbar redness, motility, "tightness" of orbit, CT orbits scan often helpful, subperiosteal abscess on CT with clinical "orbit signs" may need urgent operative drainage</w:t>
            </w:r>
          </w:p>
        </w:tc>
        <w:tc>
          <w:tcPr>
            <w:tcW w:w="4708" w:type="dxa"/>
            <w:shd w:val="clear" w:color="auto" w:fill="auto"/>
            <w:hideMark/>
          </w:tcPr>
          <w:p w14:paraId="561228D2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if + "orbit signs"</w:t>
            </w:r>
          </w:p>
        </w:tc>
      </w:tr>
      <w:tr w:rsidR="00B23C17" w:rsidRPr="00B23C17" w14:paraId="2A6981EA" w14:textId="77777777" w:rsidTr="00B23C17">
        <w:trPr>
          <w:trHeight w:val="510"/>
        </w:trPr>
        <w:tc>
          <w:tcPr>
            <w:tcW w:w="4709" w:type="dxa"/>
            <w:gridSpan w:val="2"/>
            <w:shd w:val="clear" w:color="auto" w:fill="auto"/>
            <w:hideMark/>
          </w:tcPr>
          <w:p w14:paraId="616EBDAD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Chemical exposure</w:t>
            </w:r>
          </w:p>
        </w:tc>
        <w:tc>
          <w:tcPr>
            <w:tcW w:w="4708" w:type="dxa"/>
            <w:gridSpan w:val="2"/>
            <w:shd w:val="clear" w:color="auto" w:fill="auto"/>
            <w:hideMark/>
          </w:tcPr>
          <w:p w14:paraId="706F888F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Topical anesthetic aids in irrigation, examine/sweep 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fornices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retained material, check pH at several time points</w:t>
            </w:r>
          </w:p>
        </w:tc>
        <w:tc>
          <w:tcPr>
            <w:tcW w:w="4708" w:type="dxa"/>
            <w:shd w:val="clear" w:color="auto" w:fill="auto"/>
            <w:hideMark/>
          </w:tcPr>
          <w:p w14:paraId="01D6D9AD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Call, but immediate treatment 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supercedes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communication with ophthalmology</w:t>
            </w:r>
          </w:p>
        </w:tc>
      </w:tr>
      <w:tr w:rsidR="00B23C17" w:rsidRPr="00B23C17" w14:paraId="627FCEE2" w14:textId="77777777" w:rsidTr="00B23C17">
        <w:trPr>
          <w:trHeight w:val="255"/>
        </w:trPr>
        <w:tc>
          <w:tcPr>
            <w:tcW w:w="4675" w:type="dxa"/>
            <w:shd w:val="clear" w:color="auto" w:fill="auto"/>
            <w:hideMark/>
          </w:tcPr>
          <w:p w14:paraId="2CA9AD1A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Clinical Scenario - ER</w:t>
            </w:r>
          </w:p>
        </w:tc>
        <w:tc>
          <w:tcPr>
            <w:tcW w:w="4680" w:type="dxa"/>
            <w:gridSpan w:val="2"/>
            <w:shd w:val="clear" w:color="auto" w:fill="auto"/>
            <w:hideMark/>
          </w:tcPr>
          <w:p w14:paraId="046286AE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Pearls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14:paraId="52D57895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Typical disposition/communication</w:t>
            </w:r>
          </w:p>
        </w:tc>
      </w:tr>
      <w:tr w:rsidR="00B23C17" w:rsidRPr="00B23C17" w14:paraId="030FD315" w14:textId="77777777" w:rsidTr="00B23C17">
        <w:trPr>
          <w:trHeight w:val="510"/>
        </w:trPr>
        <w:tc>
          <w:tcPr>
            <w:tcW w:w="4675" w:type="dxa"/>
            <w:shd w:val="clear" w:color="auto" w:fill="auto"/>
            <w:hideMark/>
          </w:tcPr>
          <w:p w14:paraId="5C309D60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Suspected angle closure</w:t>
            </w:r>
          </w:p>
        </w:tc>
        <w:tc>
          <w:tcPr>
            <w:tcW w:w="4680" w:type="dxa"/>
            <w:gridSpan w:val="2"/>
            <w:shd w:val="clear" w:color="auto" w:fill="auto"/>
            <w:hideMark/>
          </w:tcPr>
          <w:p w14:paraId="50124D95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Repeat pressure measurement, smaller sluggish pupil, most will also have decreased vision, inquire if on Topamax/Topiramate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14:paraId="69372192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</w:t>
            </w:r>
          </w:p>
        </w:tc>
      </w:tr>
      <w:tr w:rsidR="00B23C17" w:rsidRPr="00B23C17" w14:paraId="6148CFA1" w14:textId="77777777" w:rsidTr="00B23C17">
        <w:trPr>
          <w:trHeight w:val="255"/>
        </w:trPr>
        <w:tc>
          <w:tcPr>
            <w:tcW w:w="4675" w:type="dxa"/>
            <w:shd w:val="clear" w:color="auto" w:fill="auto"/>
            <w:hideMark/>
          </w:tcPr>
          <w:p w14:paraId="11217578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Suspected iritis</w:t>
            </w:r>
          </w:p>
        </w:tc>
        <w:tc>
          <w:tcPr>
            <w:tcW w:w="4680" w:type="dxa"/>
            <w:gridSpan w:val="2"/>
            <w:shd w:val="clear" w:color="auto" w:fill="auto"/>
            <w:hideMark/>
          </w:tcPr>
          <w:p w14:paraId="4BA42FD9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shd w:val="clear" w:color="auto" w:fill="auto"/>
            <w:hideMark/>
          </w:tcPr>
          <w:p w14:paraId="74CC6B99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vs cycloplegic with 1 day f/u</w:t>
            </w:r>
          </w:p>
        </w:tc>
      </w:tr>
      <w:tr w:rsidR="00B23C17" w:rsidRPr="00B23C17" w14:paraId="2BF4A606" w14:textId="77777777" w:rsidTr="00B23C17">
        <w:trPr>
          <w:trHeight w:val="765"/>
        </w:trPr>
        <w:tc>
          <w:tcPr>
            <w:tcW w:w="4675" w:type="dxa"/>
            <w:shd w:val="clear" w:color="auto" w:fill="auto"/>
            <w:hideMark/>
          </w:tcPr>
          <w:p w14:paraId="415247DA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Suspected open globe</w:t>
            </w:r>
          </w:p>
        </w:tc>
        <w:tc>
          <w:tcPr>
            <w:tcW w:w="4680" w:type="dxa"/>
            <w:gridSpan w:val="2"/>
            <w:shd w:val="clear" w:color="auto" w:fill="auto"/>
            <w:hideMark/>
          </w:tcPr>
          <w:p w14:paraId="0C9B5369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Seidel test if corneal, peaked pupil, purple uvea hidden under conjunctival hemorrhage, CT can be helpful.  Eye pressure can be normal or low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14:paraId="3DDB951F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Obvious Open globe: CT scan, NPO, shield over the eye, tetanus shot, avoid manipulation - no pressure check 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once confident it's ruptured</w:t>
            </w:r>
          </w:p>
        </w:tc>
      </w:tr>
      <w:tr w:rsidR="00B23C17" w:rsidRPr="00B23C17" w14:paraId="7B57F026" w14:textId="77777777" w:rsidTr="00B23C17">
        <w:trPr>
          <w:trHeight w:val="765"/>
        </w:trPr>
        <w:tc>
          <w:tcPr>
            <w:tcW w:w="4675" w:type="dxa"/>
            <w:shd w:val="clear" w:color="auto" w:fill="auto"/>
            <w:hideMark/>
          </w:tcPr>
          <w:p w14:paraId="6391ECE6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Unilateral painless vision loss</w:t>
            </w:r>
          </w:p>
        </w:tc>
        <w:tc>
          <w:tcPr>
            <w:tcW w:w="4680" w:type="dxa"/>
            <w:gridSpan w:val="2"/>
            <w:shd w:val="clear" w:color="auto" w:fill="auto"/>
            <w:hideMark/>
          </w:tcPr>
          <w:p w14:paraId="703A20A6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How much better is the "pinhole" vision?  There 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relative 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afferrent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pupil defect?  Do they have symptoms of possible temporal arteritis?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14:paraId="01036C21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 with ophthalmology (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DDx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includes - vascular occlusions, ischemic optic neuropathy, vitreous hemorrhage, retinal detachment, migraine, and others)</w:t>
            </w:r>
          </w:p>
        </w:tc>
      </w:tr>
      <w:tr w:rsidR="00B23C17" w:rsidRPr="00B23C17" w14:paraId="2AADB935" w14:textId="77777777" w:rsidTr="00B23C17">
        <w:trPr>
          <w:trHeight w:val="510"/>
        </w:trPr>
        <w:tc>
          <w:tcPr>
            <w:tcW w:w="4675" w:type="dxa"/>
            <w:shd w:val="clear" w:color="auto" w:fill="auto"/>
            <w:hideMark/>
          </w:tcPr>
          <w:p w14:paraId="77A4CA8D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Unexplained eye pain/redness</w:t>
            </w:r>
          </w:p>
        </w:tc>
        <w:tc>
          <w:tcPr>
            <w:tcW w:w="4680" w:type="dxa"/>
            <w:gridSpan w:val="2"/>
            <w:shd w:val="clear" w:color="auto" w:fill="auto"/>
            <w:hideMark/>
          </w:tcPr>
          <w:p w14:paraId="07FB8C6C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Upper lid eversion, orbit process, viral history, contact lens complications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14:paraId="5846AED3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or topical antibiotic/cycloplegic 1 day f/u</w:t>
            </w:r>
          </w:p>
        </w:tc>
      </w:tr>
      <w:tr w:rsidR="00B23C17" w:rsidRPr="00B23C17" w14:paraId="6BECC354" w14:textId="77777777" w:rsidTr="00B23C17">
        <w:trPr>
          <w:trHeight w:val="510"/>
        </w:trPr>
        <w:tc>
          <w:tcPr>
            <w:tcW w:w="4675" w:type="dxa"/>
            <w:shd w:val="clear" w:color="auto" w:fill="auto"/>
            <w:hideMark/>
          </w:tcPr>
          <w:p w14:paraId="65A6F6F3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Unequal pupils - Anisocoria</w:t>
            </w:r>
          </w:p>
        </w:tc>
        <w:tc>
          <w:tcPr>
            <w:tcW w:w="4680" w:type="dxa"/>
            <w:gridSpan w:val="2"/>
            <w:shd w:val="clear" w:color="auto" w:fill="auto"/>
            <w:hideMark/>
          </w:tcPr>
          <w:p w14:paraId="515CBA2B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Consider 3rd nerve palsy, Horner's, unintended pharmacologic effect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14:paraId="6D5EE10E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Varies</w:t>
            </w:r>
          </w:p>
        </w:tc>
      </w:tr>
      <w:tr w:rsidR="00B23C17" w:rsidRPr="00B23C17" w14:paraId="4D1418EC" w14:textId="77777777" w:rsidTr="00B23C17">
        <w:trPr>
          <w:trHeight w:val="315"/>
        </w:trPr>
        <w:tc>
          <w:tcPr>
            <w:tcW w:w="4675" w:type="dxa"/>
            <w:shd w:val="clear" w:color="auto" w:fill="auto"/>
            <w:hideMark/>
          </w:tcPr>
          <w:p w14:paraId="750E676C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</w:rPr>
              <w:t>General Trauma</w:t>
            </w:r>
          </w:p>
        </w:tc>
        <w:tc>
          <w:tcPr>
            <w:tcW w:w="4680" w:type="dxa"/>
            <w:gridSpan w:val="2"/>
            <w:shd w:val="clear" w:color="auto" w:fill="auto"/>
            <w:hideMark/>
          </w:tcPr>
          <w:p w14:paraId="44A28874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  <w:hideMark/>
          </w:tcPr>
          <w:p w14:paraId="2A59AB79" w14:textId="77777777" w:rsidR="00B23C17" w:rsidRPr="00B23C17" w:rsidRDefault="00B23C17" w:rsidP="00B2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C17" w:rsidRPr="00B23C17" w14:paraId="5E513B05" w14:textId="77777777" w:rsidTr="00B23C17">
        <w:trPr>
          <w:trHeight w:val="1020"/>
        </w:trPr>
        <w:tc>
          <w:tcPr>
            <w:tcW w:w="4675" w:type="dxa"/>
            <w:shd w:val="clear" w:color="auto" w:fill="auto"/>
            <w:hideMark/>
          </w:tcPr>
          <w:p w14:paraId="170CF904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 peri-ocular trauma</w:t>
            </w:r>
          </w:p>
        </w:tc>
        <w:tc>
          <w:tcPr>
            <w:tcW w:w="4680" w:type="dxa"/>
            <w:gridSpan w:val="2"/>
            <w:shd w:val="clear" w:color="auto" w:fill="auto"/>
            <w:hideMark/>
          </w:tcPr>
          <w:p w14:paraId="67B9DBC7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no sign of open globe or orbital compartment syndrome, evaluate to the extent possible for afferent pupillary defect (swinging light test) and vision.  Many trauma patients have 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miotic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pupils from narcotic pain control and this is difficult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14:paraId="60314C84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Varies, typically call within 12-24 hours.   See orbit fracture section above</w:t>
            </w:r>
          </w:p>
        </w:tc>
      </w:tr>
      <w:tr w:rsidR="00B23C17" w:rsidRPr="00B23C17" w14:paraId="02254DDB" w14:textId="77777777" w:rsidTr="00B23C17">
        <w:trPr>
          <w:trHeight w:val="1020"/>
        </w:trPr>
        <w:tc>
          <w:tcPr>
            <w:tcW w:w="4675" w:type="dxa"/>
            <w:shd w:val="clear" w:color="auto" w:fill="auto"/>
            <w:hideMark/>
          </w:tcPr>
          <w:p w14:paraId="6D520B33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Orbital compartment syndrome</w:t>
            </w:r>
          </w:p>
        </w:tc>
        <w:tc>
          <w:tcPr>
            <w:tcW w:w="4680" w:type="dxa"/>
            <w:gridSpan w:val="2"/>
            <w:shd w:val="clear" w:color="auto" w:fill="auto"/>
            <w:hideMark/>
          </w:tcPr>
          <w:p w14:paraId="7F84A24D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Clinical evidence of "tight orbit" - tense lids (from hemorrhage or soft tissue swelling), +/- apparent proptosis, 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resistence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retropulsion of globe, + "orbit signs", +/- retro bulbar hemorrhage on CT.  This is an underappreciated emergency.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14:paraId="1E537111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Call, but immediate treatment 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supercedes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waiting for ophthalmology.  Treatment is emergent canthotomy and </w:t>
            </w:r>
            <w:proofErr w:type="spellStart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cantholysis</w:t>
            </w:r>
            <w:proofErr w:type="spellEnd"/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23C17" w:rsidRPr="00B23C17" w14:paraId="607F023D" w14:textId="77777777" w:rsidTr="00B23C17">
        <w:trPr>
          <w:trHeight w:val="510"/>
        </w:trPr>
        <w:tc>
          <w:tcPr>
            <w:tcW w:w="4675" w:type="dxa"/>
            <w:shd w:val="clear" w:color="auto" w:fill="auto"/>
            <w:hideMark/>
          </w:tcPr>
          <w:p w14:paraId="6C287245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Cannulicular</w:t>
            </w:r>
            <w:proofErr w:type="spellEnd"/>
            <w:r w:rsidRPr="00B23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/lid margin laceration</w:t>
            </w:r>
          </w:p>
        </w:tc>
        <w:tc>
          <w:tcPr>
            <w:tcW w:w="4680" w:type="dxa"/>
            <w:gridSpan w:val="2"/>
            <w:shd w:val="clear" w:color="auto" w:fill="auto"/>
            <w:hideMark/>
          </w:tcPr>
          <w:p w14:paraId="66B4A53F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minority of ophthalmologists repair these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14:paraId="3B344D1C" w14:textId="77777777" w:rsidR="00B23C17" w:rsidRPr="00B23C17" w:rsidRDefault="00B23C17" w:rsidP="00B2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immediate management issues, call within 12 hours for either treatment or to initiate the planning for repair.  Topical antibiotic drop or ointment</w:t>
            </w:r>
          </w:p>
        </w:tc>
      </w:tr>
    </w:tbl>
    <w:p w14:paraId="0385BA8D" w14:textId="77777777" w:rsidR="00F500C4" w:rsidRDefault="00CF6516"/>
    <w:p w14:paraId="3C526546" w14:textId="77777777" w:rsidR="007F58C0" w:rsidRDefault="007F58C0"/>
    <w:p w14:paraId="07798308" w14:textId="77777777" w:rsidR="007F58C0" w:rsidRDefault="007F58C0">
      <w:bookmarkStart w:id="0" w:name="_GoBack"/>
      <w:bookmarkEnd w:id="0"/>
    </w:p>
    <w:sectPr w:rsidR="007F58C0" w:rsidSect="007F58C0">
      <w:pgSz w:w="15840" w:h="12240" w:orient="landscape"/>
      <w:pgMar w:top="115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17"/>
    <w:rsid w:val="00187A1C"/>
    <w:rsid w:val="0028491F"/>
    <w:rsid w:val="007F58C0"/>
    <w:rsid w:val="0097767F"/>
    <w:rsid w:val="00B23C17"/>
    <w:rsid w:val="00CD54AA"/>
    <w:rsid w:val="00C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A469"/>
  <w15:chartTrackingRefBased/>
  <w15:docId w15:val="{376010F3-2588-4769-9E91-B02A7DA2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F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McGonigal</dc:creator>
  <cp:keywords/>
  <dc:description/>
  <cp:lastModifiedBy>Michael McGonigal</cp:lastModifiedBy>
  <cp:revision>4</cp:revision>
  <cp:lastPrinted>2014-09-23T22:51:00Z</cp:lastPrinted>
  <dcterms:created xsi:type="dcterms:W3CDTF">2014-09-23T22:32:00Z</dcterms:created>
  <dcterms:modified xsi:type="dcterms:W3CDTF">2018-08-27T13:51:00Z</dcterms:modified>
</cp:coreProperties>
</file>